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kern w:val="0"/>
          <w:sz w:val="36"/>
          <w:szCs w:val="36"/>
        </w:rPr>
      </w:pPr>
      <w:r>
        <w:rPr>
          <w:rFonts w:ascii="黑体" w:hAnsi="黑体" w:eastAsia="黑体" w:cs="仿宋"/>
          <w:kern w:val="0"/>
          <w:sz w:val="36"/>
          <w:szCs w:val="36"/>
        </w:rPr>
        <w:t>附件1</w:t>
      </w:r>
    </w:p>
    <w:p>
      <w:pPr>
        <w:spacing w:line="560" w:lineRule="exact"/>
        <w:ind w:firstLine="600" w:firstLineChars="150"/>
        <w:rPr>
          <w:rFonts w:ascii="黑体" w:hAnsi="黑体" w:eastAsia="黑体" w:cs="仿宋"/>
          <w:kern w:val="0"/>
          <w:sz w:val="40"/>
          <w:szCs w:val="36"/>
        </w:rPr>
      </w:pPr>
    </w:p>
    <w:p>
      <w:pPr>
        <w:spacing w:line="560" w:lineRule="exact"/>
        <w:ind w:firstLine="600" w:firstLineChars="150"/>
        <w:jc w:val="center"/>
        <w:outlineLvl w:val="0"/>
        <w:rPr>
          <w:rFonts w:ascii="黑体" w:hAnsi="黑体" w:eastAsia="黑体" w:cs="仿宋"/>
          <w:kern w:val="0"/>
          <w:sz w:val="40"/>
          <w:szCs w:val="36"/>
        </w:rPr>
      </w:pPr>
      <w:r>
        <w:rPr>
          <w:rFonts w:hint="eastAsia" w:ascii="黑体" w:hAnsi="黑体" w:eastAsia="黑体" w:cs="仿宋"/>
          <w:kern w:val="0"/>
          <w:sz w:val="40"/>
          <w:szCs w:val="36"/>
        </w:rPr>
        <w:t>中电海洋能源工程技术研究院</w:t>
      </w:r>
    </w:p>
    <w:p>
      <w:pPr>
        <w:spacing w:line="560" w:lineRule="exact"/>
        <w:ind w:firstLine="600" w:firstLineChars="150"/>
        <w:jc w:val="center"/>
        <w:outlineLvl w:val="0"/>
        <w:rPr>
          <w:rFonts w:ascii="黑体" w:hAnsi="黑体" w:eastAsia="黑体" w:cs="仿宋"/>
          <w:kern w:val="0"/>
          <w:sz w:val="40"/>
          <w:szCs w:val="36"/>
        </w:rPr>
      </w:pPr>
      <w:r>
        <w:rPr>
          <w:rFonts w:hint="eastAsia" w:ascii="黑体" w:hAnsi="黑体" w:eastAsia="黑体" w:cs="仿宋"/>
          <w:kern w:val="0"/>
          <w:sz w:val="40"/>
          <w:szCs w:val="36"/>
        </w:rPr>
        <w:t>功能</w:t>
      </w:r>
      <w:r>
        <w:rPr>
          <w:rFonts w:ascii="黑体" w:hAnsi="黑体" w:eastAsia="黑体" w:cs="仿宋"/>
          <w:kern w:val="0"/>
          <w:sz w:val="40"/>
          <w:szCs w:val="36"/>
        </w:rPr>
        <w:t>定位和</w:t>
      </w:r>
      <w:r>
        <w:rPr>
          <w:rFonts w:hint="eastAsia" w:ascii="黑体" w:hAnsi="黑体" w:eastAsia="黑体" w:cs="仿宋"/>
          <w:kern w:val="0"/>
          <w:sz w:val="40"/>
          <w:szCs w:val="36"/>
        </w:rPr>
        <w:t>内设机构主要职责</w:t>
      </w:r>
    </w:p>
    <w:p>
      <w:pPr>
        <w:spacing w:line="3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中电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海洋能源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工程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技术研究院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是中国电力工程顾问集团有限公司举全集团之力践行我国“双碳”战略目标的重要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的海洋能源工程技术科技创新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平台，切实贯彻中国能建“1466”战略，以抢抓海洋能源发展及转型升级为目的，以公司整体利益最大化为原则，激发调动各环节、各领域积极性，发挥公司高端营销牵引、设计咨询牵引、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产业开发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牵引、科技牵引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作用，尽快形成可复制、可推广的经验和模式，推动公司海洋能源业务快速高质量发展。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Style w:val="13"/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中电海洋能源工程技术研究院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（以下简称“海洋院”）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是公司海洋能源工程技术的政府高端智库平台、海洋能源产业合作开发技术支撑平台、海洋能源技术成果转化及产业孵化平台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是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公司海上风电、海上光伏、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海洋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潮汐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能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、波浪能、洋流能、海水温差能、海水盐差能、海上储能、海上氢能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、海上输配电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等海洋能源领域的研发机构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统筹</w:t>
      </w:r>
      <w:r>
        <w:rPr>
          <w:rStyle w:val="13"/>
          <w:rFonts w:hint="eastAsia"/>
          <w:sz w:val="30"/>
          <w:szCs w:val="30"/>
          <w:lang w:eastAsia="zh-Hans" w:bidi="ar"/>
        </w:rPr>
        <w:t>引领</w:t>
      </w:r>
      <w:r>
        <w:rPr>
          <w:rStyle w:val="13"/>
          <w:rFonts w:hint="eastAsia"/>
          <w:sz w:val="30"/>
          <w:szCs w:val="30"/>
          <w:lang w:bidi="ar"/>
        </w:rPr>
        <w:t>公司海洋能源业务的</w:t>
      </w:r>
      <w:r>
        <w:rPr>
          <w:rStyle w:val="13"/>
          <w:rFonts w:hint="eastAsia"/>
          <w:sz w:val="30"/>
          <w:szCs w:val="30"/>
          <w:lang w:eastAsia="zh-Hans" w:bidi="ar"/>
        </w:rPr>
        <w:t>发展，引导</w:t>
      </w:r>
      <w:r>
        <w:rPr>
          <w:rStyle w:val="13"/>
          <w:rFonts w:hint="eastAsia"/>
          <w:sz w:val="30"/>
          <w:szCs w:val="30"/>
          <w:lang w:bidi="ar"/>
        </w:rPr>
        <w:t>公司及</w:t>
      </w:r>
      <w:r>
        <w:rPr>
          <w:rStyle w:val="13"/>
          <w:rFonts w:hint="eastAsia"/>
          <w:sz w:val="30"/>
          <w:szCs w:val="30"/>
          <w:lang w:eastAsia="zh-Hans" w:bidi="ar"/>
        </w:rPr>
        <w:t>相关子企业有序参与</w:t>
      </w:r>
      <w:r>
        <w:rPr>
          <w:rStyle w:val="13"/>
          <w:rFonts w:hint="eastAsia"/>
          <w:sz w:val="30"/>
          <w:szCs w:val="30"/>
          <w:lang w:bidi="ar"/>
        </w:rPr>
        <w:t>海洋能源工程的技术研发、规划设计、工程</w:t>
      </w:r>
      <w:r>
        <w:rPr>
          <w:rStyle w:val="13"/>
          <w:rFonts w:hint="eastAsia"/>
          <w:sz w:val="30"/>
          <w:szCs w:val="30"/>
          <w:lang w:eastAsia="zh-Hans" w:bidi="ar"/>
        </w:rPr>
        <w:t>建设</w:t>
      </w:r>
      <w:r>
        <w:rPr>
          <w:rStyle w:val="13"/>
          <w:rFonts w:hint="eastAsia"/>
          <w:sz w:val="30"/>
          <w:szCs w:val="30"/>
          <w:lang w:bidi="ar"/>
        </w:rPr>
        <w:t>、产业孵化、投资运营等全产业链的发展</w:t>
      </w:r>
      <w:r>
        <w:rPr>
          <w:rStyle w:val="13"/>
          <w:rFonts w:hint="eastAsia"/>
          <w:sz w:val="30"/>
          <w:szCs w:val="30"/>
          <w:lang w:eastAsia="zh-Hans" w:bidi="ar"/>
        </w:rPr>
        <w:t>。</w:t>
      </w:r>
      <w:r>
        <w:rPr>
          <w:rStyle w:val="13"/>
          <w:rFonts w:hint="eastAsia"/>
          <w:sz w:val="30"/>
          <w:szCs w:val="30"/>
        </w:rPr>
        <w:t>充分发挥公司的智力优势，深化产融结合、产信结合、产技结合，寻求在新产品、新业态、新服务上的创新与突破。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海洋院内部设置1个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管理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部门（综合管理部）、1个研究规划部门（政策研究与规划部）、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个技术部门（技术研发部）、1个业务开发部门（产业开发部）。具体机构及主要职责如下：</w:t>
      </w:r>
    </w:p>
    <w:p>
      <w:pPr>
        <w:widowControl/>
        <w:adjustRightInd w:val="0"/>
        <w:snapToGrid w:val="0"/>
        <w:spacing w:line="440" w:lineRule="exact"/>
        <w:ind w:firstLine="602" w:firstLineChars="200"/>
        <w:rPr>
          <w:rFonts w:ascii="仿宋" w:hAnsi="仿宋" w:eastAsia="仿宋" w:cs="仿宋"/>
          <w:color w:val="000000"/>
          <w:sz w:val="30"/>
          <w:szCs w:val="30"/>
          <w:lang w:eastAsia="zh-Hans"/>
        </w:rPr>
      </w:pPr>
      <w:r>
        <w:rPr>
          <w:rFonts w:ascii="仿宋" w:hAnsi="仿宋" w:eastAsia="仿宋" w:cs="仿宋"/>
          <w:b/>
          <w:color w:val="000000"/>
          <w:sz w:val="30"/>
          <w:szCs w:val="30"/>
          <w:lang w:eastAsia="zh-Hans"/>
        </w:rPr>
        <w:t>综合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Hans"/>
        </w:rPr>
        <w:t>管理</w:t>
      </w:r>
      <w:r>
        <w:rPr>
          <w:rFonts w:ascii="仿宋" w:hAnsi="仿宋" w:eastAsia="仿宋" w:cs="仿宋"/>
          <w:b/>
          <w:color w:val="000000"/>
          <w:sz w:val="30"/>
          <w:szCs w:val="30"/>
          <w:lang w:eastAsia="zh-Hans"/>
        </w:rPr>
        <w:t>部：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1）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负责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海洋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院发展规划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、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年度工作目标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、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年度工作计划和年度预算管理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；2）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负责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建立健全海洋院管理制度；3）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负责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海洋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院内部综合事务协调和管理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，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新闻宣传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、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信息报送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，业务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培训及人力资源需求计划管理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；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）负责海洋院合同管理和风险管理工作；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）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负责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海洋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院对外联络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、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公共关系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、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办公区域安全、后勤保障工作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；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6)负责完成领导交办的其他工作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。</w:t>
      </w:r>
    </w:p>
    <w:p>
      <w:pPr>
        <w:widowControl/>
        <w:adjustRightInd w:val="0"/>
        <w:snapToGrid w:val="0"/>
        <w:spacing w:line="440" w:lineRule="exact"/>
        <w:ind w:firstLine="602" w:firstLineChars="200"/>
        <w:rPr>
          <w:rFonts w:ascii="仿宋" w:hAnsi="仿宋" w:eastAsia="仿宋" w:cs="仿宋"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Hans"/>
        </w:rPr>
        <w:t>政策研究与规划部</w:t>
      </w:r>
      <w:r>
        <w:rPr>
          <w:rFonts w:ascii="仿宋" w:hAnsi="仿宋" w:eastAsia="仿宋" w:cs="仿宋"/>
          <w:b/>
          <w:color w:val="000000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负责国内外海洋能源利用政策与模式研究，支撑产业开发布局；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负责开展政府及客户在海洋能源、海洋“能源+”领域的高端规划咨询服务；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负责对海洋能源、海洋“能源+”领域宣传和培训提供服务支撑；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独立承担或牵头、参与开展规划、设计、咨询、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EPC 和投资运营一体化业务全产业链研究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；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负责完成领导交办的其他工作。</w:t>
      </w:r>
    </w:p>
    <w:p>
      <w:pPr>
        <w:widowControl/>
        <w:adjustRightInd w:val="0"/>
        <w:snapToGrid w:val="0"/>
        <w:spacing w:line="440" w:lineRule="exact"/>
        <w:ind w:firstLine="602" w:firstLineChars="200"/>
        <w:rPr>
          <w:rFonts w:ascii="仿宋" w:hAnsi="仿宋" w:eastAsia="仿宋" w:cs="仿宋"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Hans"/>
        </w:rPr>
        <w:t>技术研发部</w:t>
      </w:r>
      <w:r>
        <w:rPr>
          <w:rFonts w:ascii="仿宋" w:hAnsi="仿宋" w:eastAsia="仿宋" w:cs="仿宋"/>
          <w:b/>
          <w:color w:val="000000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承担公司海洋能源、海洋“能源+”领域的技术归集、技术提炼、技术交流、技术评审和评估工作，建立海洋能源技术体系；2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独立承担或牵头、参与中国能建及公司海洋能源、海洋“能源+”领域的工程技术、科技创新和设备研发等课题研究工作；3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负责搭建与政府的高端对接，建立政府海洋能源的高端智库，承担政府、客户委托的重点研究课题；4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独立承担或牵头、参与国家、行业、团体、企业技术标准编制工作；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负责海洋能源、海洋“能源+”领域相关的技术咨询，支撑服务公司及所属企业市场开发、项目履约；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负责推进海洋能源、海洋“能源+”领域研究成果转化应用及知识产权管理，推动科技示范（试验）项目落地；7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组织、参与海洋能源方面相关业务培训及技术交流工作；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协助公司相关部门联系国内高校、行业协会、重点企业，联合成立工程研究中心、博士后流动站、省级或国家级重点实验室等；</w:t>
      </w:r>
      <w:r>
        <w:rPr>
          <w:rFonts w:ascii="仿宋" w:hAnsi="仿宋" w:eastAsia="仿宋" w:cs="仿宋"/>
          <w:color w:val="000000"/>
          <w:sz w:val="30"/>
          <w:szCs w:val="30"/>
          <w:lang w:eastAsia="zh-Hans"/>
        </w:rPr>
        <w:t>9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Hans"/>
        </w:rPr>
        <w:t>负责完成领导交办的其他工作。</w:t>
      </w:r>
    </w:p>
    <w:p>
      <w:pPr>
        <w:widowControl/>
        <w:adjustRightInd w:val="0"/>
        <w:snapToGrid w:val="0"/>
        <w:spacing w:line="440" w:lineRule="exact"/>
        <w:ind w:firstLine="602" w:firstLineChars="200"/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产业开发部：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1）负责开展海洋能源产业导入策划研究，推动海洋能源示范项目或投资项目落地，打造海洋能源产业合作开发平台；2）负责开展海洋能源中长期开发预测，海洋能源项目开发模式、商业模式和相关产业导入模式的研究工作；3）协助公司相关部门对接地方政府、外部企业、行业协会、高校及研究机构，并推动签署海洋能源领域的相关战略合作和开发协议；</w:t>
      </w:r>
      <w:r>
        <w:rPr>
          <w:rFonts w:ascii="仿宋" w:hAnsi="仿宋" w:eastAsia="仿宋" w:cs="仿宋"/>
          <w:kern w:val="0"/>
          <w:sz w:val="30"/>
          <w:szCs w:val="30"/>
          <w:lang w:bidi="ar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）负责研究和分析海洋能源项目的建造成本、融资成本、税务成本、运维成本及其他主要非技术成本，论证项目的经济可行性；</w:t>
      </w:r>
      <w:r>
        <w:rPr>
          <w:rFonts w:ascii="仿宋" w:hAnsi="仿宋" w:eastAsia="仿宋" w:cs="仿宋"/>
          <w:kern w:val="0"/>
          <w:sz w:val="30"/>
          <w:szCs w:val="30"/>
          <w:lang w:bidi="ar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）负责完成领导交办的其他工作。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BD"/>
    <w:rsid w:val="000E653F"/>
    <w:rsid w:val="00122C1F"/>
    <w:rsid w:val="001F768B"/>
    <w:rsid w:val="002125B3"/>
    <w:rsid w:val="00296D75"/>
    <w:rsid w:val="002A151D"/>
    <w:rsid w:val="0038764B"/>
    <w:rsid w:val="00447B85"/>
    <w:rsid w:val="00481F28"/>
    <w:rsid w:val="00490823"/>
    <w:rsid w:val="005959F9"/>
    <w:rsid w:val="005F509F"/>
    <w:rsid w:val="00610E8A"/>
    <w:rsid w:val="006C5245"/>
    <w:rsid w:val="006D0401"/>
    <w:rsid w:val="007C69AC"/>
    <w:rsid w:val="00826288"/>
    <w:rsid w:val="008A5A5C"/>
    <w:rsid w:val="009951BD"/>
    <w:rsid w:val="00A84700"/>
    <w:rsid w:val="00A97C3F"/>
    <w:rsid w:val="00BB5B8D"/>
    <w:rsid w:val="00D87EF0"/>
    <w:rsid w:val="00E248E7"/>
    <w:rsid w:val="00E36C3D"/>
    <w:rsid w:val="00E541AC"/>
    <w:rsid w:val="00E8218F"/>
    <w:rsid w:val="00EF2F5B"/>
    <w:rsid w:val="00F06260"/>
    <w:rsid w:val="00FB6B1A"/>
    <w:rsid w:val="00FF44AF"/>
    <w:rsid w:val="00FF54AD"/>
    <w:rsid w:val="010039AF"/>
    <w:rsid w:val="01D50B23"/>
    <w:rsid w:val="02C26113"/>
    <w:rsid w:val="02F57348"/>
    <w:rsid w:val="055C76B4"/>
    <w:rsid w:val="06425DE3"/>
    <w:rsid w:val="12337B51"/>
    <w:rsid w:val="15BB34ED"/>
    <w:rsid w:val="194E72AE"/>
    <w:rsid w:val="2C812BF8"/>
    <w:rsid w:val="2DE672CE"/>
    <w:rsid w:val="3151474B"/>
    <w:rsid w:val="3A46608E"/>
    <w:rsid w:val="3E3D6B6B"/>
    <w:rsid w:val="3F7E0A42"/>
    <w:rsid w:val="42AC1D40"/>
    <w:rsid w:val="42DA0286"/>
    <w:rsid w:val="49C41B43"/>
    <w:rsid w:val="4AFC0911"/>
    <w:rsid w:val="5C0600EA"/>
    <w:rsid w:val="638B35E4"/>
    <w:rsid w:val="67656784"/>
    <w:rsid w:val="67D86200"/>
    <w:rsid w:val="67E50BCE"/>
    <w:rsid w:val="6F8D5D4C"/>
    <w:rsid w:val="705E29D0"/>
    <w:rsid w:val="7291328E"/>
    <w:rsid w:val="781F63F3"/>
    <w:rsid w:val="7D560C1F"/>
    <w:rsid w:val="7F57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5">
    <w:name w:val="Normal Indent"/>
    <w:basedOn w:val="1"/>
    <w:qFormat/>
    <w:uiPriority w:val="0"/>
    <w:pPr>
      <w:ind w:firstLine="630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6">
    <w:name w:val="Balloon Text"/>
    <w:basedOn w:val="1"/>
    <w:link w:val="12"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rPr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批注框文本 字符"/>
    <w:link w:val="6"/>
    <w:uiPriority w:val="0"/>
    <w:rPr>
      <w:rFonts w:cs="Calibri"/>
      <w:kern w:val="2"/>
      <w:sz w:val="18"/>
      <w:szCs w:val="18"/>
    </w:rPr>
  </w:style>
  <w:style w:type="character" w:customStyle="1" w:styleId="13">
    <w:name w:val="fontstyle01"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14">
    <w:name w:val="标题 1 字符"/>
    <w:link w:val="3"/>
    <w:qFormat/>
    <w:uiPriority w:val="0"/>
    <w:rPr>
      <w:rFonts w:cs="Calibri"/>
      <w:b/>
      <w:bCs/>
      <w:kern w:val="44"/>
      <w:sz w:val="44"/>
      <w:szCs w:val="44"/>
    </w:rPr>
  </w:style>
  <w:style w:type="character" w:customStyle="1" w:styleId="15">
    <w:name w:val="页眉 字符"/>
    <w:link w:val="8"/>
    <w:uiPriority w:val="0"/>
    <w:rPr>
      <w:rFonts w:cs="Calibri"/>
      <w:kern w:val="2"/>
      <w:sz w:val="18"/>
      <w:szCs w:val="18"/>
    </w:rPr>
  </w:style>
  <w:style w:type="character" w:customStyle="1" w:styleId="16">
    <w:name w:val="页脚 字符"/>
    <w:link w:val="7"/>
    <w:uiPriority w:val="99"/>
    <w:rPr>
      <w:rFonts w:cs="Calibri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1321</Characters>
  <Lines>11</Lines>
  <Paragraphs>3</Paragraphs>
  <TotalTime>0</TotalTime>
  <ScaleCrop>false</ScaleCrop>
  <LinksUpToDate>false</LinksUpToDate>
  <CharactersWithSpaces>1549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2023-07-16T21:59:00Z</dcterms:created>
  <dc:creator>qzhang3213</dc:creator>
  <cp:lastModifiedBy>唐栋梁</cp:lastModifiedBy>
  <cp:lastPrinted>2023-07-25T04:23:05Z</cp:lastPrinted>
  <dcterms:modified xsi:type="dcterms:W3CDTF">2023-07-25T08:03:24Z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CF62094E73154C2294A86E3ABA9A51D8</vt:lpwstr>
  </property>
</Properties>
</file>